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07A7E">
      <w:pPr>
        <w:spacing w:line="580" w:lineRule="exact"/>
        <w:rPr>
          <w:rFonts w:ascii="CESI仿宋-GB2312" w:hAnsi="CESI仿宋-GB2312" w:eastAsia="CESI仿宋-GB2312" w:cs="CESI仿宋-GB2312"/>
          <w:b/>
          <w:bCs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</w:rPr>
        <w:t xml:space="preserve">附件1 </w:t>
      </w:r>
    </w:p>
    <w:p w14:paraId="5CD6CEE1">
      <w:pPr>
        <w:pStyle w:val="3"/>
        <w:widowControl/>
        <w:spacing w:beforeAutospacing="0" w:afterAutospacing="0" w:line="560" w:lineRule="exact"/>
        <w:jc w:val="center"/>
        <w:rPr>
          <w:rFonts w:ascii="国标黑体" w:hAnsi="国标黑体" w:eastAsia="国标黑体" w:cs="国标黑体"/>
          <w:b/>
          <w:bCs/>
          <w:kern w:val="2"/>
          <w:sz w:val="36"/>
          <w:szCs w:val="36"/>
        </w:rPr>
      </w:pPr>
      <w:r>
        <w:rPr>
          <w:rFonts w:hint="eastAsia" w:ascii="国标黑体" w:hAnsi="国标黑体" w:eastAsia="国标黑体" w:cs="国标黑体"/>
          <w:b/>
          <w:bCs/>
          <w:kern w:val="2"/>
          <w:sz w:val="36"/>
          <w:szCs w:val="36"/>
        </w:rPr>
        <w:t>吉首大学2026年博士研究生招生专业目录</w:t>
      </w:r>
    </w:p>
    <w:tbl>
      <w:tblPr>
        <w:tblStyle w:val="4"/>
        <w:tblW w:w="8661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8"/>
        <w:gridCol w:w="1339"/>
        <w:gridCol w:w="801"/>
        <w:gridCol w:w="1135"/>
        <w:gridCol w:w="3605"/>
        <w:gridCol w:w="983"/>
      </w:tblGrid>
      <w:tr w14:paraId="4133CA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  <w:jc w:val="center"/>
        </w:trPr>
        <w:tc>
          <w:tcPr>
            <w:tcW w:w="798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F2D1">
            <w:pPr>
              <w:pStyle w:val="3"/>
              <w:widowControl/>
              <w:spacing w:beforeAutospacing="0" w:afterAutospacing="0" w:line="320" w:lineRule="exact"/>
              <w:ind w:firstLine="120" w:firstLineChars="50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学科</w:t>
            </w:r>
          </w:p>
          <w:p w14:paraId="2C757D55">
            <w:pPr>
              <w:pStyle w:val="3"/>
              <w:widowControl/>
              <w:spacing w:beforeAutospacing="0" w:afterAutospacing="0" w:line="320" w:lineRule="exact"/>
              <w:ind w:firstLine="120" w:firstLineChars="50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名称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F4CE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专业方向</w:t>
            </w:r>
          </w:p>
        </w:tc>
        <w:tc>
          <w:tcPr>
            <w:tcW w:w="8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225A2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招生</w:t>
            </w:r>
          </w:p>
          <w:p w14:paraId="6D83A6A5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导师</w:t>
            </w:r>
          </w:p>
        </w:tc>
        <w:tc>
          <w:tcPr>
            <w:tcW w:w="4740" w:type="dxa"/>
            <w:gridSpan w:val="2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F1D3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考试科目</w:t>
            </w:r>
          </w:p>
        </w:tc>
        <w:tc>
          <w:tcPr>
            <w:tcW w:w="98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80A60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联系方式</w:t>
            </w:r>
          </w:p>
          <w:p w14:paraId="78448543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通信地址</w:t>
            </w:r>
          </w:p>
        </w:tc>
      </w:tr>
      <w:tr w14:paraId="71EE80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25" w:hRule="atLeast"/>
          <w:jc w:val="center"/>
        </w:trPr>
        <w:tc>
          <w:tcPr>
            <w:tcW w:w="798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C18E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  <w:bookmarkStart w:id="0" w:name="_Hlk219381195"/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</w:rPr>
              <w:t>体育学</w:t>
            </w:r>
            <w:r>
              <w:rPr>
                <w:rFonts w:hint="eastAsia" w:ascii="CESI仿宋-GB2312" w:hAnsi="CESI仿宋-GB2312" w:eastAsia="CESI仿宋-GB2312" w:cs="CESI仿宋-GB2312"/>
                <w:sz w:val="24"/>
              </w:rPr>
              <w:t>040300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EBB41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民族传统</w:t>
            </w:r>
          </w:p>
          <w:p w14:paraId="473E5C2E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体育学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9E8D3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白晋湘</w:t>
            </w:r>
          </w:p>
          <w:p w14:paraId="41CCB205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 xml:space="preserve">万 </w:t>
            </w: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</w:rPr>
              <w:t>义</w:t>
            </w:r>
          </w:p>
          <w:p w14:paraId="1E1878BF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郭振华</w:t>
            </w:r>
          </w:p>
          <w:p w14:paraId="4C5260FC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吴湘军</w:t>
            </w:r>
          </w:p>
          <w:p w14:paraId="45E31781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龙佩林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267AB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①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1001《英语》</w:t>
            </w:r>
          </w:p>
          <w:p w14:paraId="69FC21A2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  <w:p w14:paraId="42BCEB14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②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2001《体育学理论综合》</w:t>
            </w:r>
          </w:p>
          <w:p w14:paraId="51397D69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460A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3001《民族传统体育学研究前沿与热点》</w:t>
            </w:r>
          </w:p>
          <w:p w14:paraId="2DF650A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983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9C35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陈老师</w:t>
            </w:r>
          </w:p>
          <w:p w14:paraId="72C78ED1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0743-8565020、13574350768</w:t>
            </w:r>
          </w:p>
          <w:p w14:paraId="0F0A0AB7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湖南省吉首市人民南路120号，邮编：416000</w:t>
            </w:r>
          </w:p>
        </w:tc>
      </w:tr>
      <w:tr w14:paraId="008A87F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14FE">
            <w:pPr>
              <w:widowControl/>
              <w:spacing w:line="320" w:lineRule="exact"/>
              <w:ind w:firstLine="482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E056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体育人文</w:t>
            </w:r>
          </w:p>
          <w:p w14:paraId="04239E95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社会学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E984C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周道平</w:t>
            </w:r>
          </w:p>
          <w:p w14:paraId="71D2D036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张天成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AF5D0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2120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3002《体育人文社会学研究前沿与热点》</w:t>
            </w:r>
          </w:p>
          <w:p w14:paraId="4226D664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EE01D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</w:tr>
      <w:tr w14:paraId="0381319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5B1A8">
            <w:pPr>
              <w:widowControl/>
              <w:spacing w:line="320" w:lineRule="exact"/>
              <w:ind w:firstLine="482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1F4D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运动人体</w:t>
            </w:r>
          </w:p>
          <w:p w14:paraId="189A999E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科学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22FD8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谌晓安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94B9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85AD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3003《运动人体科学研究前沿与热点》</w:t>
            </w:r>
          </w:p>
          <w:p w14:paraId="5F231F30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14260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</w:tr>
      <w:bookmarkEnd w:id="0"/>
      <w:tr w14:paraId="1D99BE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1" w:hRule="atLeast"/>
          <w:jc w:val="center"/>
        </w:trPr>
        <w:tc>
          <w:tcPr>
            <w:tcW w:w="798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DD5F3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</w:rPr>
              <w:t>民族学</w:t>
            </w:r>
            <w:r>
              <w:rPr>
                <w:rFonts w:hint="eastAsia" w:ascii="CESI仿宋-GB2312" w:hAnsi="CESI仿宋-GB2312" w:eastAsia="CESI仿宋-GB2312" w:cs="CESI仿宋-GB2312"/>
                <w:sz w:val="24"/>
              </w:rPr>
              <w:t>030400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662B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马克思主义</w:t>
            </w:r>
          </w:p>
          <w:p w14:paraId="0F43800D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民族理论</w:t>
            </w:r>
          </w:p>
          <w:p w14:paraId="182C8981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与政策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B9FA">
            <w:pPr>
              <w:pStyle w:val="3"/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bookmarkStart w:id="1" w:name="OLE_LINK17"/>
            <w:r>
              <w:rPr>
                <w:rFonts w:hint="eastAsia" w:ascii="CESI仿宋-GB2312" w:hAnsi="CESI仿宋-GB2312" w:eastAsia="CESI仿宋-GB2312" w:cs="CESI仿宋-GB2312"/>
              </w:rPr>
              <w:t>暨爱民龙先琼蒋</w:t>
            </w: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</w:rPr>
              <w:t xml:space="preserve"> 辉丁建军</w:t>
            </w:r>
            <w:bookmarkEnd w:id="1"/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927D7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①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1001《英语》</w:t>
            </w:r>
          </w:p>
          <w:p w14:paraId="3367A4BD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  <w:p w14:paraId="0E31DA8C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②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2002《民族学理论与方法》</w:t>
            </w:r>
          </w:p>
          <w:p w14:paraId="0C6975F3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62E4CCB0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039837A7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1.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林耀华主编：《民族学通论（修订本）》，中央民族大学出版社，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2012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年版。</w:t>
            </w:r>
          </w:p>
          <w:p w14:paraId="2447F348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2.宋蜀华、白振声：《民族学理论与方法》，中央民族大学出版社，1998年版。</w:t>
            </w:r>
          </w:p>
          <w:p w14:paraId="3FD9F6A5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7E15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3004《马克思主义民族理论与政策》</w:t>
            </w:r>
          </w:p>
          <w:p w14:paraId="37678716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739A6C2D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4F53696D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1.金炳镐：《民族理论通论》，中央民族大学出版社，2007年。</w:t>
            </w:r>
          </w:p>
          <w:p w14:paraId="16C2182B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2.编写组：《中华民族共同体概论》，高等教育出版社、民族出版社，2023年12月出版（2025年2月重印）。</w:t>
            </w:r>
          </w:p>
        </w:tc>
        <w:tc>
          <w:tcPr>
            <w:tcW w:w="983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72B99">
            <w:pPr>
              <w:pStyle w:val="3"/>
              <w:widowControl/>
              <w:spacing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袁老师0743-8563903、13789337530</w:t>
            </w:r>
          </w:p>
          <w:p w14:paraId="7BA34582">
            <w:pPr>
              <w:pStyle w:val="3"/>
              <w:widowControl/>
              <w:spacing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湖南省湘西自治州吉首市北一环188号吉首大学雷公井校区人文学院，</w:t>
            </w:r>
            <w:r>
              <w:rPr>
                <w:rFonts w:hint="eastAsia" w:ascii="仿宋" w:hAnsi="仿宋" w:eastAsia="仿宋" w:cs="仿宋"/>
              </w:rPr>
              <w:t>邮编：416000</w:t>
            </w:r>
          </w:p>
        </w:tc>
      </w:tr>
      <w:tr w14:paraId="5C03295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5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BFBA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9F8C4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中华民族学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36D08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</w:p>
          <w:p w14:paraId="4443C65E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bookmarkStart w:id="2" w:name="OLE_LINK15"/>
            <w:bookmarkStart w:id="3" w:name="OLE_LINK16"/>
            <w:r>
              <w:rPr>
                <w:rFonts w:hint="eastAsia" w:ascii="CESI仿宋-GB2312" w:hAnsi="CESI仿宋-GB2312" w:eastAsia="CESI仿宋-GB2312" w:cs="CESI仿宋-GB2312"/>
              </w:rPr>
              <w:t>廖志坤</w:t>
            </w:r>
            <w:bookmarkEnd w:id="2"/>
          </w:p>
          <w:bookmarkEnd w:id="3"/>
          <w:p w14:paraId="436B237B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瞿州莲</w:t>
            </w:r>
          </w:p>
          <w:p w14:paraId="09A70116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 xml:space="preserve">邵 </w:t>
            </w: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</w:rPr>
              <w:t>侃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2C43C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CESI仿宋-GB2312" w:hAnsi="CESI仿宋-GB2312" w:eastAsia="CESI仿宋-GB2312" w:cs="CESI仿宋-GB2312"/>
                <w:b w:val="0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B8F8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3005《中华民族共同体理论》</w:t>
            </w:r>
          </w:p>
          <w:p w14:paraId="7D50CBB8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196B7C84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77C868A8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1.编写组：《中华民族共同体概论》，高等教育出版社、民族出版社，2023年12月出版（2025年2月重印）。</w:t>
            </w:r>
          </w:p>
          <w:p w14:paraId="2FD02745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2.费孝通：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《中华民族多元一体格局》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，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中央民族大学出版社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，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2018年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。</w:t>
            </w: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DCCA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CESI仿宋-GB2312" w:hAnsi="CESI仿宋-GB2312" w:eastAsia="CESI仿宋-GB2312" w:cs="CESI仿宋-GB2312"/>
                <w:b w:val="0"/>
              </w:rPr>
            </w:pPr>
          </w:p>
        </w:tc>
      </w:tr>
      <w:tr w14:paraId="6A08238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8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4B232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1BF83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人类学与</w:t>
            </w:r>
          </w:p>
          <w:p w14:paraId="422E8872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世界民族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0A3A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</w:p>
          <w:p w14:paraId="63F9050A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姜又春</w:t>
            </w:r>
          </w:p>
          <w:p w14:paraId="73C194D0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瞿建慧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352C2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CESI仿宋-GB2312" w:hAnsi="CESI仿宋-GB2312" w:eastAsia="CESI仿宋-GB2312" w:cs="CESI仿宋-GB2312"/>
                <w:b w:val="0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41F7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3006《人类学通论》</w:t>
            </w:r>
          </w:p>
          <w:p w14:paraId="5953C53A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3A737042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58998DB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1.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庄孔韶：《人类学通论（第四版）》，中国人民大学出版社，2020年第2版。</w:t>
            </w:r>
          </w:p>
          <w:p w14:paraId="6EE4E66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2.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汪宁生：《文化人类学调查—正确认识社会的方法》，学苑出版社，2015年。</w:t>
            </w: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55AA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CESI仿宋-GB2312" w:hAnsi="CESI仿宋-GB2312" w:eastAsia="CESI仿宋-GB2312" w:cs="CESI仿宋-GB2312"/>
                <w:b w:val="0"/>
              </w:rPr>
            </w:pPr>
          </w:p>
        </w:tc>
      </w:tr>
      <w:tr w14:paraId="2076E9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4" w:hRule="atLeast"/>
          <w:jc w:val="center"/>
        </w:trPr>
        <w:tc>
          <w:tcPr>
            <w:tcW w:w="798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648A">
            <w:pPr>
              <w:pStyle w:val="3"/>
              <w:widowControl/>
              <w:spacing w:beforeAutospacing="0" w:afterAutospacing="0" w:line="320" w:lineRule="exact"/>
              <w:ind w:firstLine="120" w:firstLineChars="50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学科</w:t>
            </w:r>
          </w:p>
          <w:p w14:paraId="5F8C6F7B">
            <w:pPr>
              <w:pStyle w:val="3"/>
              <w:widowControl/>
              <w:spacing w:beforeAutospacing="0" w:afterAutospacing="0" w:line="320" w:lineRule="exact"/>
              <w:ind w:firstLine="120" w:firstLineChars="50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名称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9B6F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专业方向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8EF7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招生</w:t>
            </w:r>
          </w:p>
          <w:p w14:paraId="6957FD38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导师</w:t>
            </w:r>
          </w:p>
        </w:tc>
        <w:tc>
          <w:tcPr>
            <w:tcW w:w="474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E0698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专业考试科目</w:t>
            </w:r>
          </w:p>
        </w:tc>
        <w:tc>
          <w:tcPr>
            <w:tcW w:w="98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55A9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宋体" w:hAnsi="宋体" w:eastAsia="宋体" w:cs="宋体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联系方式</w:t>
            </w:r>
          </w:p>
          <w:p w14:paraId="33EE1F43">
            <w:pPr>
              <w:pStyle w:val="3"/>
              <w:widowControl/>
              <w:spacing w:beforeAutospacing="0" w:afterAutospacing="0" w:line="320" w:lineRule="exact"/>
              <w:jc w:val="center"/>
              <w:rPr>
                <w:rStyle w:val="7"/>
                <w:rFonts w:ascii="CESI仿宋-GB2312" w:hAnsi="CESI仿宋-GB2312" w:eastAsia="CESI仿宋-GB2312" w:cs="CESI仿宋-GB2312"/>
                <w:b w:val="0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</w:rPr>
              <w:t>通信地址</w:t>
            </w:r>
          </w:p>
        </w:tc>
      </w:tr>
      <w:tr w14:paraId="1598A9A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12" w:hRule="atLeast"/>
          <w:jc w:val="center"/>
        </w:trPr>
        <w:tc>
          <w:tcPr>
            <w:tcW w:w="798" w:type="dxa"/>
            <w:vMerge w:val="restar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5B11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b/>
                <w:bCs/>
                <w:sz w:val="24"/>
              </w:rPr>
            </w:pPr>
            <w:bookmarkStart w:id="4" w:name="_Hlk218762198"/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</w:rPr>
              <w:t>生态学</w:t>
            </w:r>
          </w:p>
          <w:p w14:paraId="54F0314A">
            <w:pPr>
              <w:widowControl/>
              <w:spacing w:line="320" w:lineRule="exact"/>
              <w:jc w:val="center"/>
              <w:rPr>
                <w:rFonts w:ascii="CESI仿宋-GB2312" w:hAnsi="CESI仿宋-GB2312" w:eastAsia="CESI仿宋-GB2312" w:cs="CESI仿宋-GB2312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sz w:val="24"/>
              </w:rPr>
              <w:t>071300</w:t>
            </w: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A3CCA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植物生态学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92BB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bookmarkStart w:id="5" w:name="OLE_LINK26"/>
            <w:r>
              <w:rPr>
                <w:rFonts w:hint="eastAsia" w:ascii="CESI仿宋-GB2312" w:hAnsi="CESI仿宋-GB2312" w:eastAsia="CESI仿宋-GB2312" w:cs="CESI仿宋-GB2312"/>
              </w:rPr>
              <w:t>谭敦</w:t>
            </w:r>
            <w:bookmarkEnd w:id="5"/>
            <w:r>
              <w:rPr>
                <w:rFonts w:hint="eastAsia" w:ascii="CESI仿宋-GB2312" w:hAnsi="CESI仿宋-GB2312" w:eastAsia="CESI仿宋-GB2312" w:cs="CESI仿宋-GB2312"/>
              </w:rPr>
              <w:t>炎</w:t>
            </w:r>
          </w:p>
          <w:p w14:paraId="35FB0F13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李</w:t>
            </w: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</w:rPr>
              <w:t xml:space="preserve"> 鹂</w:t>
            </w:r>
          </w:p>
          <w:p w14:paraId="79E1CA3C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孟</w:t>
            </w:r>
            <w:r>
              <w:rPr>
                <w:rFonts w:hint="eastAsia" w:ascii="CESI仿宋-GB2312" w:hAnsi="CESI仿宋-GB2312" w:eastAsia="CESI仿宋-GB2312" w:cs="CESI仿宋-GB2312"/>
                <w:lang w:val="en-US" w:eastAsia="zh-CN"/>
              </w:rPr>
              <w:t xml:space="preserve"> </w:t>
            </w:r>
            <w:r>
              <w:rPr>
                <w:rFonts w:hint="eastAsia" w:ascii="CESI仿宋-GB2312" w:hAnsi="CESI仿宋-GB2312" w:eastAsia="CESI仿宋-GB2312" w:cs="CESI仿宋-GB2312"/>
              </w:rPr>
              <w:t xml:space="preserve"> 盈</w:t>
            </w:r>
          </w:p>
        </w:tc>
        <w:tc>
          <w:tcPr>
            <w:tcW w:w="1135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745A3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①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1001《英语》</w:t>
            </w:r>
          </w:p>
          <w:p w14:paraId="2CFEA50F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</w:p>
          <w:p w14:paraId="0457215A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②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 xml:space="preserve">2003高级生态学 （适用于各方向） </w:t>
            </w:r>
          </w:p>
          <w:p w14:paraId="1CCF4D6D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0380B026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74E2F2A7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1.戈峰，《现代生态学（第二版）》，科学出版社，2008年。</w:t>
            </w:r>
          </w:p>
          <w:p w14:paraId="76217D40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 w:val="24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2.</w:t>
            </w: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李博，《生态学》，高等教育出版社，2000年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。</w:t>
            </w: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CB54F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3007《植物生态学》</w:t>
            </w:r>
          </w:p>
          <w:p w14:paraId="6C73D006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14217708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</w:t>
            </w:r>
            <w:bookmarkStart w:id="6" w:name="OLE_LINK250"/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：</w:t>
            </w:r>
            <w:bookmarkEnd w:id="6"/>
          </w:p>
          <w:p w14:paraId="1602E7A3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段昌群等，《植物生态学（第3版）》，高等教育出版社，2022年。</w:t>
            </w:r>
          </w:p>
        </w:tc>
        <w:tc>
          <w:tcPr>
            <w:tcW w:w="983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FF84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周老师</w:t>
            </w:r>
          </w:p>
          <w:p w14:paraId="3000E2F1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0743-8564416、</w:t>
            </w:r>
          </w:p>
          <w:p w14:paraId="563B8587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18774318531</w:t>
            </w:r>
          </w:p>
          <w:p w14:paraId="68CFCD38">
            <w:pPr>
              <w:pStyle w:val="3"/>
              <w:widowControl/>
              <w:spacing w:beforeAutospacing="0" w:afterAutospacing="0" w:line="32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湖南省吉首市人民南路120号，邮编：416000</w:t>
            </w:r>
          </w:p>
          <w:p w14:paraId="5F0339AD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  <w:p w14:paraId="372E064B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</w:tr>
      <w:bookmarkEnd w:id="4"/>
      <w:tr w14:paraId="63BF910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76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B003">
            <w:pPr>
              <w:pStyle w:val="2"/>
              <w:spacing w:line="560" w:lineRule="exact"/>
              <w:rPr>
                <w:rFonts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B10F">
            <w:pPr>
              <w:pStyle w:val="3"/>
              <w:widowControl/>
              <w:spacing w:beforeAutospacing="0" w:afterAutospacing="0" w:line="36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动物生态学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B866D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蒋万胜</w:t>
            </w:r>
          </w:p>
          <w:p w14:paraId="5C34883D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9B60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731A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3008《动物生态学》</w:t>
            </w:r>
          </w:p>
          <w:p w14:paraId="6CF1CD33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0EC06275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0ECCBECE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孙儒泳等，《动物生态学原理（第4版）》，北京师范大学出版社，2019年。</w:t>
            </w: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3A642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</w:tr>
      <w:tr w14:paraId="047B19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F01A3">
            <w:pPr>
              <w:pStyle w:val="2"/>
              <w:spacing w:line="560" w:lineRule="exact"/>
              <w:rPr>
                <w:rFonts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9579">
            <w:pPr>
              <w:pStyle w:val="3"/>
              <w:widowControl/>
              <w:spacing w:beforeAutospacing="0" w:afterAutospacing="0" w:line="36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修复生态学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B0DAF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马陶武何兴兵</w:t>
            </w:r>
          </w:p>
          <w:p w14:paraId="6E6E20F9">
            <w:pPr>
              <w:pStyle w:val="3"/>
              <w:widowControl/>
              <w:spacing w:beforeAutospacing="0" w:afterAutospacing="0" w:line="32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周  强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8522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9F70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3009《修复生态学》</w:t>
            </w:r>
          </w:p>
          <w:p w14:paraId="1AA034DF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48DE294E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05C2CEF7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周启星等，《生态修复》，中国环境科学出版社出版，2006年。</w:t>
            </w: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410F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</w:tr>
      <w:tr w14:paraId="0496EA3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9" w:hRule="atLeast"/>
          <w:jc w:val="center"/>
        </w:trPr>
        <w:tc>
          <w:tcPr>
            <w:tcW w:w="798" w:type="dxa"/>
            <w:vMerge w:val="continue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BA973">
            <w:pPr>
              <w:pStyle w:val="2"/>
              <w:spacing w:line="560" w:lineRule="exact"/>
              <w:rPr>
                <w:rFonts w:ascii="CESI仿宋-GB2312" w:hAnsi="CESI仿宋-GB2312" w:eastAsia="CESI仿宋-GB2312" w:cs="CESI仿宋-GB2312"/>
                <w:sz w:val="24"/>
                <w:szCs w:val="24"/>
              </w:rPr>
            </w:pPr>
          </w:p>
        </w:tc>
        <w:tc>
          <w:tcPr>
            <w:tcW w:w="1339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9614">
            <w:pPr>
              <w:pStyle w:val="3"/>
              <w:widowControl/>
              <w:spacing w:beforeAutospacing="0" w:afterAutospacing="0" w:line="36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武陵山区</w:t>
            </w:r>
          </w:p>
          <w:p w14:paraId="28B59BFD">
            <w:pPr>
              <w:pStyle w:val="3"/>
              <w:widowControl/>
              <w:spacing w:beforeAutospacing="0" w:afterAutospacing="0" w:line="36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可持续</w:t>
            </w:r>
          </w:p>
          <w:p w14:paraId="07C53A98">
            <w:pPr>
              <w:pStyle w:val="3"/>
              <w:widowControl/>
              <w:spacing w:beforeAutospacing="0" w:afterAutospacing="0" w:line="360" w:lineRule="exact"/>
              <w:jc w:val="center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生态学</w:t>
            </w:r>
          </w:p>
        </w:tc>
        <w:tc>
          <w:tcPr>
            <w:tcW w:w="801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52A8">
            <w:pPr>
              <w:pStyle w:val="3"/>
              <w:widowControl/>
              <w:spacing w:beforeAutospacing="0" w:afterAutospacing="0" w:line="360" w:lineRule="exact"/>
              <w:rPr>
                <w:rFonts w:ascii="CESI仿宋-GB2312" w:hAnsi="CESI仿宋-GB2312" w:eastAsia="CESI仿宋-GB2312" w:cs="CESI仿宋-GB2312"/>
              </w:rPr>
            </w:pPr>
            <w:r>
              <w:rPr>
                <w:rFonts w:hint="eastAsia" w:ascii="CESI仿宋-GB2312" w:hAnsi="CESI仿宋-GB2312" w:eastAsia="CESI仿宋-GB2312" w:cs="CESI仿宋-GB2312"/>
              </w:rPr>
              <w:t>彭清忠吴吉林</w:t>
            </w:r>
          </w:p>
        </w:tc>
        <w:tc>
          <w:tcPr>
            <w:tcW w:w="1135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653E0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  <w:tc>
          <w:tcPr>
            <w:tcW w:w="3605" w:type="dxa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C7A9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ascii="CESI仿宋-GB2312" w:hAnsi="CESI仿宋-GB2312" w:eastAsia="CESI仿宋-GB2312" w:cs="CESI仿宋-GB2312"/>
                <w:kern w:val="0"/>
                <w:szCs w:val="21"/>
              </w:rPr>
              <w:t>③</w:t>
            </w: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3010《可持续生态学》</w:t>
            </w:r>
          </w:p>
          <w:p w14:paraId="12264841">
            <w:pPr>
              <w:widowControl/>
              <w:spacing w:line="320" w:lineRule="exact"/>
              <w:jc w:val="left"/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</w:pPr>
          </w:p>
          <w:p w14:paraId="6DF2E83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参考书目：</w:t>
            </w:r>
          </w:p>
          <w:p w14:paraId="7B829781">
            <w:pPr>
              <w:widowControl/>
              <w:spacing w:line="320" w:lineRule="exact"/>
              <w:jc w:val="left"/>
              <w:rPr>
                <w:rFonts w:ascii="CESI仿宋-GB2312" w:hAnsi="CESI仿宋-GB2312" w:eastAsia="CESI仿宋-GB2312" w:cs="CESI仿宋-GB2312"/>
                <w:kern w:val="0"/>
                <w:szCs w:val="21"/>
              </w:rPr>
            </w:pPr>
            <w:r>
              <w:rPr>
                <w:rFonts w:hint="eastAsia" w:ascii="CESI仿宋-GB2312" w:hAnsi="CESI仿宋-GB2312" w:eastAsia="CESI仿宋-GB2312" w:cs="CESI仿宋-GB2312"/>
                <w:kern w:val="0"/>
                <w:szCs w:val="21"/>
              </w:rPr>
              <w:t>李文华，《中国当代生态学研究 可持续发展生态学卷》，科学出版社，2013年。</w:t>
            </w:r>
          </w:p>
        </w:tc>
        <w:tc>
          <w:tcPr>
            <w:tcW w:w="983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92D7E">
            <w:pPr>
              <w:pStyle w:val="3"/>
              <w:widowControl/>
              <w:spacing w:beforeAutospacing="0" w:afterAutospacing="0" w:line="440" w:lineRule="exact"/>
              <w:jc w:val="center"/>
              <w:rPr>
                <w:rFonts w:ascii="CESI仿宋-GB2312" w:hAnsi="CESI仿宋-GB2312" w:eastAsia="CESI仿宋-GB2312" w:cs="CESI仿宋-GB2312"/>
              </w:rPr>
            </w:pPr>
          </w:p>
        </w:tc>
      </w:tr>
    </w:tbl>
    <w:p w14:paraId="7CD1A6EF">
      <w:pPr>
        <w:pStyle w:val="3"/>
        <w:widowControl/>
        <w:spacing w:beforeAutospacing="0" w:afterAutospacing="0" w:line="320" w:lineRule="exact"/>
        <w:ind w:firstLine="240" w:firstLineChars="100"/>
        <w:jc w:val="both"/>
        <w:rPr>
          <w:rFonts w:hint="eastAsia" w:ascii="CESI仿宋-GB2312" w:hAnsi="CESI仿宋-GB2312" w:eastAsia="CESI仿宋-GB2312" w:cs="CESI仿宋-GB2312"/>
          <w:lang w:eastAsia="zh-CN"/>
        </w:rPr>
      </w:pPr>
      <w:bookmarkStart w:id="7" w:name="OLE_LINK248"/>
      <w:bookmarkStart w:id="8" w:name="OLE_LINK249"/>
      <w:r>
        <w:rPr>
          <w:rFonts w:hint="eastAsia" w:ascii="CESI仿宋-GB2312" w:hAnsi="CESI仿宋-GB2312" w:eastAsia="CESI仿宋-GB2312" w:cs="CESI仿宋-GB2312"/>
          <w:lang w:val="en-US" w:eastAsia="zh-CN"/>
        </w:rPr>
        <w:t>注：招生人数</w:t>
      </w:r>
      <w:r>
        <w:rPr>
          <w:rFonts w:hint="eastAsia" w:ascii="CESI仿宋-GB2312" w:hAnsi="CESI仿宋-GB2312" w:eastAsia="CESI仿宋-GB2312" w:cs="CESI仿宋-GB2312"/>
        </w:rPr>
        <w:t>以上级主管部门下达计划为准</w:t>
      </w:r>
      <w:r>
        <w:rPr>
          <w:rFonts w:hint="eastAsia" w:ascii="CESI仿宋-GB2312" w:hAnsi="CESI仿宋-GB2312" w:eastAsia="CESI仿宋-GB2312" w:cs="CESI仿宋-GB2312"/>
          <w:lang w:eastAsia="zh-CN"/>
        </w:rPr>
        <w:t>。</w:t>
      </w:r>
    </w:p>
    <w:p w14:paraId="11FE13A4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5B4434F2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62B014DC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  <w:bookmarkStart w:id="10" w:name="_GoBack"/>
      <w:bookmarkEnd w:id="10"/>
    </w:p>
    <w:p w14:paraId="181D19CF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2F73E488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0C12F014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4D90EB5C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4BA1F5D3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1ED96977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1F606B7B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510820A1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3FD89D40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74157524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bookmarkEnd w:id="7"/>
    <w:bookmarkEnd w:id="8"/>
    <w:p w14:paraId="763BDE8F">
      <w:pPr>
        <w:pStyle w:val="3"/>
        <w:widowControl/>
        <w:spacing w:beforeAutospacing="0" w:afterAutospacing="0" w:line="320" w:lineRule="exact"/>
        <w:jc w:val="center"/>
        <w:rPr>
          <w:rFonts w:ascii="CESI仿宋-GB2312" w:hAnsi="CESI仿宋-GB2312" w:eastAsia="CESI仿宋-GB2312" w:cs="CESI仿宋-GB2312"/>
        </w:rPr>
      </w:pPr>
    </w:p>
    <w:p w14:paraId="43A2A725">
      <w:pPr>
        <w:pStyle w:val="3"/>
        <w:spacing w:line="375" w:lineRule="atLeast"/>
        <w:jc w:val="center"/>
        <w:rPr>
          <w:rStyle w:val="7"/>
          <w:rFonts w:ascii="宋体" w:hAnsi="宋体"/>
          <w:sz w:val="30"/>
          <w:szCs w:val="30"/>
        </w:rPr>
      </w:pPr>
      <w:bookmarkStart w:id="9" w:name="OLE_LINK13"/>
      <w:r>
        <w:rPr>
          <w:rStyle w:val="7"/>
          <w:rFonts w:hint="eastAsia" w:ascii="宋体" w:hAnsi="宋体"/>
          <w:sz w:val="30"/>
          <w:szCs w:val="30"/>
        </w:rPr>
        <w:t>吉首大学2026年体育学博士研究生招生考试书目及考试大纲</w:t>
      </w:r>
    </w:p>
    <w:tbl>
      <w:tblPr>
        <w:tblStyle w:val="5"/>
        <w:tblW w:w="0" w:type="auto"/>
        <w:tblInd w:w="1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477"/>
        <w:gridCol w:w="4228"/>
      </w:tblGrid>
      <w:tr w14:paraId="6F4F8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35" w:type="dxa"/>
            <w:vAlign w:val="center"/>
          </w:tcPr>
          <w:p w14:paraId="51F3038B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/>
              </w:rPr>
            </w:pPr>
            <w:r>
              <w:rPr>
                <w:rFonts w:hint="eastAsia" w:ascii="宋体" w:hAnsi="宋体" w:cs="微软雅黑"/>
                <w:b/>
                <w:bCs/>
              </w:rPr>
              <w:t>专业及代码</w:t>
            </w:r>
          </w:p>
        </w:tc>
        <w:tc>
          <w:tcPr>
            <w:tcW w:w="2477" w:type="dxa"/>
            <w:vAlign w:val="center"/>
          </w:tcPr>
          <w:p w14:paraId="72DBC1D0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/>
              </w:rPr>
            </w:pPr>
            <w:r>
              <w:rPr>
                <w:rStyle w:val="7"/>
                <w:rFonts w:hint="eastAsia" w:ascii="宋体" w:hAnsi="宋体"/>
              </w:rPr>
              <w:t>考试科目</w:t>
            </w:r>
          </w:p>
        </w:tc>
        <w:tc>
          <w:tcPr>
            <w:tcW w:w="4228" w:type="dxa"/>
            <w:vAlign w:val="center"/>
          </w:tcPr>
          <w:p w14:paraId="73A72BFD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 w:eastAsia="宋体"/>
              </w:rPr>
            </w:pPr>
            <w:r>
              <w:rPr>
                <w:rStyle w:val="7"/>
                <w:rFonts w:hint="eastAsia" w:ascii="宋体" w:hAnsi="宋体"/>
              </w:rPr>
              <w:t>考试大纲</w:t>
            </w:r>
          </w:p>
        </w:tc>
      </w:tr>
      <w:tr w14:paraId="751D7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  <w:vMerge w:val="restart"/>
            <w:vAlign w:val="center"/>
          </w:tcPr>
          <w:p w14:paraId="59856CB2">
            <w:pPr>
              <w:pStyle w:val="3"/>
              <w:spacing w:beforeAutospacing="0" w:afterAutospacing="0" w:line="340" w:lineRule="exact"/>
              <w:jc w:val="both"/>
              <w:rPr>
                <w:rFonts w:ascii="宋体" w:hAnsi="宋体" w:cs="微软雅黑"/>
              </w:rPr>
            </w:pPr>
          </w:p>
          <w:p w14:paraId="6EA7C366">
            <w:pPr>
              <w:pStyle w:val="3"/>
              <w:spacing w:beforeAutospacing="0" w:afterAutospacing="0" w:line="340" w:lineRule="exact"/>
              <w:jc w:val="both"/>
              <w:rPr>
                <w:rFonts w:ascii="宋体" w:hAnsi="宋体" w:cs="微软雅黑"/>
              </w:rPr>
            </w:pPr>
          </w:p>
          <w:p w14:paraId="35001EFC">
            <w:pPr>
              <w:pStyle w:val="3"/>
              <w:spacing w:beforeAutospacing="0" w:afterAutospacing="0" w:line="340" w:lineRule="exact"/>
              <w:jc w:val="both"/>
              <w:rPr>
                <w:rFonts w:ascii="宋体" w:hAnsi="宋体" w:cs="微软雅黑"/>
              </w:rPr>
            </w:pPr>
          </w:p>
          <w:p w14:paraId="60B177D8">
            <w:pPr>
              <w:pStyle w:val="3"/>
              <w:spacing w:beforeAutospacing="0" w:afterAutospacing="0" w:line="340" w:lineRule="exact"/>
              <w:jc w:val="both"/>
              <w:rPr>
                <w:rFonts w:ascii="宋体" w:hAnsi="宋体" w:cs="微软雅黑"/>
              </w:rPr>
            </w:pPr>
          </w:p>
          <w:p w14:paraId="134F928E">
            <w:pPr>
              <w:pStyle w:val="3"/>
              <w:spacing w:beforeAutospacing="0" w:afterAutospacing="0" w:line="340" w:lineRule="exact"/>
              <w:jc w:val="both"/>
              <w:rPr>
                <w:rFonts w:ascii="宋体" w:hAnsi="宋体" w:cs="微软雅黑"/>
              </w:rPr>
            </w:pPr>
          </w:p>
          <w:p w14:paraId="6EB61971">
            <w:pPr>
              <w:pStyle w:val="3"/>
              <w:spacing w:beforeAutospacing="0" w:afterAutospacing="0" w:line="340" w:lineRule="exact"/>
              <w:jc w:val="center"/>
              <w:rPr>
                <w:rFonts w:ascii="宋体" w:hAnsi="宋体" w:cs="微软雅黑"/>
              </w:rPr>
            </w:pPr>
          </w:p>
          <w:p w14:paraId="5AFAE54E">
            <w:pPr>
              <w:pStyle w:val="3"/>
              <w:spacing w:beforeAutospacing="0" w:afterAutospacing="0" w:line="340" w:lineRule="exact"/>
              <w:jc w:val="center"/>
              <w:rPr>
                <w:rFonts w:ascii="宋体" w:hAnsi="宋体" w:cs="微软雅黑"/>
                <w:b/>
                <w:bCs/>
              </w:rPr>
            </w:pPr>
            <w:r>
              <w:rPr>
                <w:rFonts w:hint="eastAsia" w:ascii="宋体" w:hAnsi="宋体" w:cs="微软雅黑"/>
                <w:b/>
                <w:bCs/>
              </w:rPr>
              <w:t>体育学</w:t>
            </w:r>
          </w:p>
          <w:p w14:paraId="663BD8B2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/>
              </w:rPr>
            </w:pPr>
            <w:r>
              <w:rPr>
                <w:rFonts w:hint="eastAsia" w:ascii="宋体" w:hAnsi="宋体" w:cs="微软雅黑"/>
                <w:b/>
                <w:bCs/>
              </w:rPr>
              <w:t>（040300）</w:t>
            </w:r>
          </w:p>
        </w:tc>
        <w:tc>
          <w:tcPr>
            <w:tcW w:w="2477" w:type="dxa"/>
            <w:vAlign w:val="center"/>
          </w:tcPr>
          <w:p w14:paraId="20F50C11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/>
              </w:rPr>
            </w:pPr>
            <w:r>
              <w:rPr>
                <w:rFonts w:hint="eastAsia" w:ascii="宋体" w:hAnsi="宋体"/>
                <w:b/>
              </w:rPr>
              <w:t>体育学理论综合</w:t>
            </w:r>
          </w:p>
        </w:tc>
        <w:tc>
          <w:tcPr>
            <w:tcW w:w="4228" w:type="dxa"/>
            <w:vAlign w:val="center"/>
          </w:tcPr>
          <w:p w14:paraId="73DCB520">
            <w:pPr>
              <w:spacing w:line="340" w:lineRule="exact"/>
              <w:ind w:firstLine="431" w:firstLineChars="196"/>
              <w:rPr>
                <w:rStyle w:val="7"/>
                <w:rFonts w:ascii="宋体" w:hAnsi="宋体"/>
                <w:sz w:val="20"/>
                <w:szCs w:val="22"/>
              </w:rPr>
            </w:pP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国内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>外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体育政策、法规、制度的政策分析；国内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>外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体育</w:t>
            </w:r>
            <w:r>
              <w:rPr>
                <w:rFonts w:hint="eastAsia" w:ascii="宋体" w:hAnsi="宋体" w:cs="Times New Roman"/>
                <w:sz w:val="22"/>
                <w:szCs w:val="22"/>
              </w:rPr>
              <w:t>学经典著作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的解读；国内外体育学的历史和发展；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体育教育、运动训练、社会体育指导与管理、武术与民族传统体育、运动人体科学、运动康复、休闲体育、体能训练、冰雪运动、电子竞技运动与管理、智能体育工程、体育旅游、运动能力开发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等基础理论和实践；体育教育、</w:t>
            </w:r>
            <w:r>
              <w:fldChar w:fldCharType="begin"/>
            </w:r>
            <w:r>
              <w:instrText xml:space="preserve"> HYPERLINK "https://baike.baidu.com/item/%E8%BF%90%E5%8A%A8%E5%BD%A2%E6%80%81%E5%AD%A6/14092196?fromModule=lemma_inlink"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运动形态学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、</w:t>
            </w:r>
            <w:r>
              <w:fldChar w:fldCharType="begin"/>
            </w:r>
            <w:r>
              <w:instrText xml:space="preserve"> HYPERLINK "https://baike.baidu.com/item/%E8%BF%90%E5%8A%A8%E7%94%9F%E7%90%86%E5%AD%A6/1827279?fromModule=lemma_inlink"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运动生理学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、运动生物化学、</w:t>
            </w:r>
            <w:r>
              <w:fldChar w:fldCharType="begin"/>
            </w:r>
            <w:r>
              <w:instrText xml:space="preserve"> HYPERLINK "https://baike.baidu.com/item/%E8%BF%90%E5%8A%A8%E7%94%9F%E7%89%A9%E5%8A%9B%E5%AD%A6/22612923?fromModule=lemma_inlink"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运动生物力学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、</w:t>
            </w:r>
            <w:r>
              <w:fldChar w:fldCharType="begin"/>
            </w:r>
            <w:r>
              <w:instrText xml:space="preserve"> HYPERLINK "https://baike.baidu.com/item/%E8%BF%90%E5%8A%A8%E5%8C%BB%E5%AD%A6/2667774?fromModule=lemma_inlink"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运动医学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、运动心理学、</w:t>
            </w:r>
            <w:r>
              <w:fldChar w:fldCharType="begin"/>
            </w:r>
            <w:r>
              <w:instrText xml:space="preserve"> HYPERLINK "https://baike.baidu.com/item/%E4%BD%93%E8%82%B2%E5%93%B2%E5%AD%A6/3440439?fromModule=lemma_inlink"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体育哲学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、</w:t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体育法学、体育产业经营与管理、户外运动、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体育统计学、</w:t>
            </w:r>
            <w:r>
              <w:fldChar w:fldCharType="begin"/>
            </w:r>
            <w:r>
              <w:instrText xml:space="preserve"> HYPERLINK "https://baike.baidu.com/item/%E4%BD%93%E8%82%B2%E5%8F%B2/7393114?fromModule=lemma_inlink" \t "https://baike.baidu.com/item/%E4%BD%93%E8%82%B2%E5%AD%A6/_blank" </w:instrText>
            </w:r>
            <w:r>
              <w:fldChar w:fldCharType="separate"/>
            </w:r>
            <w:r>
              <w:rPr>
                <w:rFonts w:ascii="宋体" w:hAnsi="宋体" w:eastAsia="宋体" w:cs="Times New Roman"/>
                <w:sz w:val="22"/>
                <w:szCs w:val="22"/>
              </w:rPr>
              <w:t>体育史</w:t>
            </w:r>
            <w:r>
              <w:rPr>
                <w:rFonts w:ascii="宋体" w:hAnsi="宋体" w:eastAsia="宋体" w:cs="Times New Roman"/>
                <w:sz w:val="22"/>
                <w:szCs w:val="22"/>
              </w:rPr>
              <w:fldChar w:fldCharType="end"/>
            </w:r>
            <w:r>
              <w:rPr>
                <w:rFonts w:hint="eastAsia" w:ascii="宋体" w:hAnsi="宋体" w:eastAsia="宋体" w:cs="Times New Roman"/>
                <w:sz w:val="22"/>
                <w:szCs w:val="22"/>
              </w:rPr>
              <w:t>等基础理论和热点分析；民族传统体育学、体育人文社会学、体育教育训练学、运动人体科学学科体系建设和学科焦点；以及体育交叉学科相关理论及其前沿等。</w:t>
            </w:r>
          </w:p>
        </w:tc>
      </w:tr>
      <w:tr w14:paraId="6B7FF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635" w:type="dxa"/>
            <w:vMerge w:val="continue"/>
            <w:vAlign w:val="center"/>
          </w:tcPr>
          <w:p w14:paraId="0712B0D3">
            <w:pPr>
              <w:pStyle w:val="3"/>
              <w:spacing w:beforeAutospacing="0" w:afterAutospacing="0" w:line="340" w:lineRule="exact"/>
              <w:jc w:val="both"/>
              <w:rPr>
                <w:rStyle w:val="7"/>
                <w:rFonts w:ascii="宋体" w:hAnsi="宋体"/>
              </w:rPr>
            </w:pPr>
          </w:p>
        </w:tc>
        <w:tc>
          <w:tcPr>
            <w:tcW w:w="2477" w:type="dxa"/>
            <w:vAlign w:val="center"/>
          </w:tcPr>
          <w:p w14:paraId="731642E0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 w:eastAsia="宋体"/>
              </w:rPr>
            </w:pPr>
            <w:r>
              <w:rPr>
                <w:rFonts w:hint="eastAsia" w:ascii="宋体" w:hAnsi="宋体"/>
                <w:b/>
              </w:rPr>
              <w:t>民族传统体育学研究前沿与热点</w:t>
            </w:r>
          </w:p>
        </w:tc>
        <w:tc>
          <w:tcPr>
            <w:tcW w:w="4228" w:type="dxa"/>
            <w:vAlign w:val="center"/>
          </w:tcPr>
          <w:p w14:paraId="38107C5E">
            <w:pPr>
              <w:pStyle w:val="3"/>
              <w:spacing w:beforeAutospacing="0" w:afterAutospacing="0" w:line="340" w:lineRule="exact"/>
              <w:jc w:val="both"/>
              <w:rPr>
                <w:rStyle w:val="7"/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民族传统体育相关的国家政策解读；民族传统体育学科的研究热点与前沿性问题；人类学理论与方法；区域性民族传统体育项目的文化阐释；传统节日与民族传统体育之间的关系；民族传统体育项目的起源与演变；民族传统体育项目的</w:t>
            </w:r>
            <w:r>
              <w:rPr>
                <w:rFonts w:ascii="宋体" w:hAnsi="宋体" w:cs="Arial"/>
                <w:sz w:val="22"/>
                <w:szCs w:val="22"/>
              </w:rPr>
              <w:t>基本技术</w:t>
            </w:r>
            <w:r>
              <w:rPr>
                <w:rFonts w:hint="eastAsia" w:ascii="宋体" w:hAnsi="宋体" w:cs="Arial"/>
                <w:sz w:val="22"/>
                <w:szCs w:val="22"/>
              </w:rPr>
              <w:t>、基本</w:t>
            </w:r>
            <w:r>
              <w:rPr>
                <w:rFonts w:ascii="宋体" w:hAnsi="宋体" w:cs="Arial"/>
                <w:sz w:val="22"/>
                <w:szCs w:val="22"/>
              </w:rPr>
              <w:t>战术</w:t>
            </w:r>
            <w:r>
              <w:rPr>
                <w:rFonts w:hint="eastAsia" w:ascii="宋体" w:hAnsi="宋体" w:cs="Arial"/>
                <w:sz w:val="22"/>
                <w:szCs w:val="22"/>
              </w:rPr>
              <w:t>、</w:t>
            </w:r>
            <w:r>
              <w:rPr>
                <w:rFonts w:hint="eastAsia" w:ascii="宋体" w:hAnsi="宋体"/>
                <w:sz w:val="22"/>
                <w:szCs w:val="22"/>
              </w:rPr>
              <w:t>教学方法、训练方法与</w:t>
            </w:r>
            <w:r>
              <w:rPr>
                <w:rFonts w:ascii="宋体" w:hAnsi="宋体" w:cs="Arial"/>
                <w:sz w:val="22"/>
                <w:szCs w:val="22"/>
              </w:rPr>
              <w:t>裁判方法</w:t>
            </w:r>
            <w:r>
              <w:rPr>
                <w:rFonts w:hint="eastAsia" w:ascii="宋体" w:hAnsi="宋体"/>
                <w:sz w:val="22"/>
                <w:szCs w:val="22"/>
              </w:rPr>
              <w:t>；中国古代体育项目志编纂原理与方法；二十四史中的民族传统体育的记载与释义；地方志中的民族传统体育的记载与释义；传统体育类非物质文化遗产现状、问题与发展；民族传统体育现状、问题与发展；民族传统体育在促进民族交往交流交融中的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作用和价值；民族传统体育在铸牢中华民族共同体意识中的作用和价值；民族传统体育在构筑中华民族共有精神家园中的作用和价值；民族传统体育的产业化；民族传统体育的国际化传播；民族传统体育研究项目课题设计等。</w:t>
            </w:r>
          </w:p>
        </w:tc>
      </w:tr>
      <w:tr w14:paraId="71488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635" w:type="dxa"/>
            <w:vMerge w:val="continue"/>
            <w:vAlign w:val="center"/>
          </w:tcPr>
          <w:p w14:paraId="27747046">
            <w:pPr>
              <w:pStyle w:val="3"/>
              <w:spacing w:beforeAutospacing="0" w:afterAutospacing="0" w:line="340" w:lineRule="exact"/>
              <w:jc w:val="both"/>
            </w:pPr>
          </w:p>
        </w:tc>
        <w:tc>
          <w:tcPr>
            <w:tcW w:w="2477" w:type="dxa"/>
            <w:vAlign w:val="center"/>
          </w:tcPr>
          <w:p w14:paraId="3903FC54">
            <w:pPr>
              <w:pStyle w:val="3"/>
              <w:spacing w:beforeAutospacing="0" w:afterAutospacing="0" w:line="340" w:lineRule="exact"/>
              <w:jc w:val="center"/>
              <w:rPr>
                <w:rFonts w:ascii="宋体" w:hAnsi="宋体"/>
                <w:b/>
              </w:rPr>
            </w:pPr>
          </w:p>
          <w:p w14:paraId="68F4069E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 w:eastAsia="宋体"/>
              </w:rPr>
            </w:pPr>
            <w:r>
              <w:rPr>
                <w:rFonts w:hint="eastAsia" w:ascii="宋体" w:hAnsi="宋体"/>
                <w:b/>
              </w:rPr>
              <w:t>体育人文社会学研究前沿与热点</w:t>
            </w:r>
          </w:p>
        </w:tc>
        <w:tc>
          <w:tcPr>
            <w:tcW w:w="4228" w:type="dxa"/>
            <w:vAlign w:val="center"/>
          </w:tcPr>
          <w:p w14:paraId="74AECF03">
            <w:pPr>
              <w:spacing w:line="340" w:lineRule="exact"/>
              <w:ind w:firstLine="431" w:firstLineChars="196"/>
              <w:rPr>
                <w:rStyle w:val="7"/>
                <w:rFonts w:ascii="宋体" w:hAnsi="宋体" w:eastAsia="宋体"/>
                <w:sz w:val="20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西方体育人文社会学的理论流派；体育人文社会学经典著作解读；体育人文社会学相关的国家政策解读；体育人文社会学的基本理论与研究方法；体育与政治、经济、教育、文化、旅游、媒介之间的相互关系；“健康中国”与“体育强国”战略下的全民健身体系；数字体育与社会互动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；体育产业与乡村振兴；体育与社会问题交叉研究；体育健康促进理论与实践；</w:t>
            </w:r>
            <w:r>
              <w:rPr>
                <w:rFonts w:hint="eastAsia" w:ascii="宋体" w:hAnsi="宋体"/>
                <w:sz w:val="22"/>
                <w:szCs w:val="22"/>
              </w:rPr>
              <w:t>体育人文社会学研究项目课题设计等。</w:t>
            </w:r>
          </w:p>
        </w:tc>
      </w:tr>
      <w:tr w14:paraId="3003D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635" w:type="dxa"/>
            <w:vMerge w:val="continue"/>
            <w:vAlign w:val="center"/>
          </w:tcPr>
          <w:p w14:paraId="06F02D29">
            <w:pPr>
              <w:pStyle w:val="3"/>
              <w:spacing w:beforeAutospacing="0" w:afterAutospacing="0" w:line="340" w:lineRule="exact"/>
              <w:jc w:val="both"/>
              <w:rPr>
                <w:rStyle w:val="7"/>
                <w:rFonts w:ascii="宋体" w:hAnsi="宋体" w:eastAsia="宋体"/>
              </w:rPr>
            </w:pPr>
          </w:p>
        </w:tc>
        <w:tc>
          <w:tcPr>
            <w:tcW w:w="2477" w:type="dxa"/>
            <w:vAlign w:val="center"/>
          </w:tcPr>
          <w:p w14:paraId="4701339E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/>
              </w:rPr>
            </w:pPr>
          </w:p>
          <w:p w14:paraId="1426174F">
            <w:pPr>
              <w:pStyle w:val="3"/>
              <w:spacing w:beforeAutospacing="0" w:afterAutospacing="0" w:line="340" w:lineRule="exact"/>
              <w:jc w:val="center"/>
              <w:rPr>
                <w:rStyle w:val="7"/>
                <w:rFonts w:ascii="宋体" w:hAnsi="宋体" w:eastAsia="宋体"/>
              </w:rPr>
            </w:pPr>
            <w:r>
              <w:rPr>
                <w:rStyle w:val="7"/>
                <w:rFonts w:hint="eastAsia" w:ascii="宋体" w:hAnsi="宋体"/>
              </w:rPr>
              <w:t>运动人体科学</w:t>
            </w:r>
            <w:r>
              <w:rPr>
                <w:rFonts w:hint="eastAsia" w:ascii="宋体" w:hAnsi="宋体"/>
                <w:b/>
              </w:rPr>
              <w:t>研究前沿与热点</w:t>
            </w:r>
          </w:p>
        </w:tc>
        <w:tc>
          <w:tcPr>
            <w:tcW w:w="4228" w:type="dxa"/>
            <w:vAlign w:val="center"/>
          </w:tcPr>
          <w:p w14:paraId="1458DC30">
            <w:pPr>
              <w:pStyle w:val="3"/>
              <w:spacing w:beforeAutospacing="0" w:afterAutospacing="0" w:line="340" w:lineRule="exact"/>
              <w:jc w:val="both"/>
              <w:rPr>
                <w:rStyle w:val="7"/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/>
                <w:sz w:val="22"/>
                <w:szCs w:val="22"/>
              </w:rPr>
              <w:t>运动人体科学相关的国家政策解读；运动人体科学的基本理论与研究方法；</w:t>
            </w:r>
            <w:r>
              <w:rPr>
                <w:rFonts w:hint="eastAsia" w:ascii="宋体" w:hAnsi="宋体" w:cs="宋体"/>
                <w:sz w:val="22"/>
                <w:szCs w:val="22"/>
              </w:rPr>
              <w:t>运动解剖原理与动作优化；人体形态功能及其作用机制；运动能量代谢原理及实践运用；运动技能的形成机理及实践运用；身体素质的生理学基础及其训练；运动员身体机能诊断与评价；体质与健康促进的理论与实践；身体活动促进健康的生理生化机制；体质（体适能）测评及运动处方制定和实施；体医卫教融合研究；人工智能赋能体质与健康促进；体质健康促进的前沿与热点问题；运动人体科学</w:t>
            </w:r>
            <w:r>
              <w:rPr>
                <w:rFonts w:hint="eastAsia" w:ascii="宋体" w:hAnsi="宋体"/>
                <w:sz w:val="22"/>
                <w:szCs w:val="22"/>
              </w:rPr>
              <w:t>研究项目课题设计等</w:t>
            </w:r>
            <w:r>
              <w:rPr>
                <w:rFonts w:hint="eastAsia" w:ascii="宋体" w:hAnsi="宋体" w:cs="宋体"/>
                <w:sz w:val="22"/>
                <w:szCs w:val="22"/>
              </w:rPr>
              <w:t>。</w:t>
            </w:r>
          </w:p>
        </w:tc>
      </w:tr>
      <w:bookmarkEnd w:id="9"/>
    </w:tbl>
    <w:p w14:paraId="7B447C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仿宋-GB2312">
    <w:altName w:val="仿宋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国标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7DF7421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A54EE4"/>
    <w:rsid w:val="4079494B"/>
    <w:rsid w:val="68017C83"/>
    <w:rsid w:val="76A5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1333</Words>
  <Characters>1551</Characters>
  <Lines>0</Lines>
  <Paragraphs>0</Paragraphs>
  <TotalTime>1</TotalTime>
  <ScaleCrop>false</ScaleCrop>
  <LinksUpToDate>false</LinksUpToDate>
  <CharactersWithSpaces>1567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2026-01-25T04:55:00Z</dcterms:created>
  <dc:creator>ضوءاشمس</dc:creator>
  <cp:lastModifiedBy>ضوءاشمس</cp:lastModifiedBy>
  <dcterms:modified xsi:type="dcterms:W3CDTF">2026-01-25T05:05:49Z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1D4DE6E1219E4E25BB10A287881ADAFF_11</vt:lpwstr>
  </property>
  <property fmtid="{D5CDD505-2E9C-101B-9397-08002B2CF9AE}" pid="4" name="KSOTemplateDocerSaveRecord">
    <vt:lpwstr>eyJoZGlkIjoiYWE1NTAyMzk1ZDJjNDEyOGQ0MGU0N2Y2YjFjNDg1OGMiLCJ1c2VySWQiOiIzMDQ3Mzg5MTMifQ==</vt:lpwstr>
  </property>
</Properties>
</file>